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71435" w14:textId="77777777" w:rsidR="008B4891" w:rsidRDefault="008B4891" w:rsidP="008B4891">
      <w:r>
        <w:rPr>
          <w:b/>
          <w:bCs/>
          <w:sz w:val="24"/>
          <w:szCs w:val="24"/>
          <w:u w:val="single"/>
        </w:rPr>
        <w:t>UHC IVF Coverage</w:t>
      </w:r>
    </w:p>
    <w:p w14:paraId="032F00DC" w14:textId="77777777" w:rsidR="008B4891" w:rsidRDefault="008B4891" w:rsidP="008B4891">
      <w:r>
        <w:rPr>
          <w:sz w:val="22"/>
          <w:szCs w:val="22"/>
        </w:rPr>
        <w:t>Fertility Preservation for Iatrogenic Infertility coverage is only for those that have medical reasons that cause irreversible infertility such as chemotherapy, radiation treatment, and bilateral oophorectomy due to cancer are covered health care services.  This coverage is embedded with the plan coverage.</w:t>
      </w:r>
    </w:p>
    <w:p w14:paraId="3D40B5F7" w14:textId="77777777" w:rsidR="008B4891" w:rsidRDefault="008B4891" w:rsidP="008B4891">
      <w:r>
        <w:rPr>
          <w:sz w:val="22"/>
          <w:szCs w:val="22"/>
        </w:rPr>
        <w:t> </w:t>
      </w:r>
    </w:p>
    <w:p w14:paraId="7691877E" w14:textId="77777777" w:rsidR="008B4891" w:rsidRDefault="008B4891" w:rsidP="008B4891">
      <w:r>
        <w:rPr>
          <w:sz w:val="22"/>
          <w:szCs w:val="22"/>
        </w:rPr>
        <w:t>The buy-up coverage includes the following:</w:t>
      </w:r>
    </w:p>
    <w:p w14:paraId="4807D78C" w14:textId="77777777" w:rsidR="008B4891" w:rsidRDefault="008B4891" w:rsidP="008B4891">
      <w:r>
        <w:rPr>
          <w:sz w:val="22"/>
          <w:szCs w:val="22"/>
        </w:rPr>
        <w:t> </w:t>
      </w:r>
    </w:p>
    <w:p w14:paraId="6FE4E98D" w14:textId="77777777" w:rsidR="008B4891" w:rsidRDefault="008B4891" w:rsidP="008B4891">
      <w:r>
        <w:rPr>
          <w:b/>
          <w:bCs/>
          <w:sz w:val="22"/>
          <w:szCs w:val="22"/>
        </w:rPr>
        <w:t>PPO Coverage</w:t>
      </w:r>
    </w:p>
    <w:p w14:paraId="3BE0C24E" w14:textId="77777777" w:rsidR="008B4891" w:rsidRDefault="008B4891" w:rsidP="008B4891">
      <w:r>
        <w:rPr>
          <w:sz w:val="22"/>
          <w:szCs w:val="22"/>
        </w:rPr>
        <w:t xml:space="preserve">Services for the treatment of infertility when provided by or under the care or supervision of a Physician, limited to the following procedures: </w:t>
      </w:r>
    </w:p>
    <w:p w14:paraId="388AFC62" w14:textId="77777777" w:rsidR="008B4891" w:rsidRDefault="008B4891" w:rsidP="008B4891">
      <w:r>
        <w:rPr>
          <w:sz w:val="22"/>
          <w:szCs w:val="22"/>
        </w:rPr>
        <w:t> </w:t>
      </w:r>
    </w:p>
    <w:p w14:paraId="47011178" w14:textId="77777777" w:rsidR="008B4891" w:rsidRDefault="008B4891" w:rsidP="008B4891">
      <w:pPr>
        <w:pStyle w:val="ListParagraph"/>
        <w:numPr>
          <w:ilvl w:val="0"/>
          <w:numId w:val="1"/>
        </w:numPr>
        <w:contextualSpacing/>
        <w:rPr>
          <w:rFonts w:eastAsia="Times New Roman"/>
        </w:rPr>
      </w:pPr>
      <w:r>
        <w:rPr>
          <w:rFonts w:eastAsia="Times New Roman"/>
          <w:sz w:val="22"/>
          <w:szCs w:val="22"/>
        </w:rPr>
        <w:t>Ovulation induction (or controlled ovarian stimulation).</w:t>
      </w:r>
    </w:p>
    <w:p w14:paraId="0F080895" w14:textId="77777777" w:rsidR="008B4891" w:rsidRDefault="008B4891" w:rsidP="008B4891">
      <w:pPr>
        <w:pStyle w:val="ListParagraph"/>
        <w:numPr>
          <w:ilvl w:val="0"/>
          <w:numId w:val="1"/>
        </w:numPr>
        <w:contextualSpacing/>
        <w:rPr>
          <w:rFonts w:eastAsia="Times New Roman"/>
        </w:rPr>
      </w:pPr>
      <w:r>
        <w:rPr>
          <w:rFonts w:eastAsia="Times New Roman"/>
          <w:sz w:val="22"/>
          <w:szCs w:val="22"/>
        </w:rPr>
        <w:t xml:space="preserve">Insemination procedures (artificial insemination (AI) and intrauterine insemination (IUI)). </w:t>
      </w:r>
    </w:p>
    <w:p w14:paraId="423DE364" w14:textId="77777777" w:rsidR="008B4891" w:rsidRDefault="008B4891" w:rsidP="008B4891">
      <w:pPr>
        <w:pStyle w:val="ListParagraph"/>
        <w:numPr>
          <w:ilvl w:val="0"/>
          <w:numId w:val="1"/>
        </w:numPr>
        <w:contextualSpacing/>
        <w:rPr>
          <w:rFonts w:eastAsia="Times New Roman"/>
        </w:rPr>
      </w:pPr>
      <w:r>
        <w:rPr>
          <w:rFonts w:eastAsia="Times New Roman"/>
          <w:sz w:val="22"/>
          <w:szCs w:val="22"/>
        </w:rPr>
        <w:t xml:space="preserve">Assisted Reproductive Technologies (ART). </w:t>
      </w:r>
    </w:p>
    <w:p w14:paraId="5B49540F" w14:textId="77777777" w:rsidR="008B4891" w:rsidRDefault="008B4891" w:rsidP="008B4891">
      <w:pPr>
        <w:pStyle w:val="ListParagraph"/>
        <w:numPr>
          <w:ilvl w:val="0"/>
          <w:numId w:val="1"/>
        </w:numPr>
        <w:contextualSpacing/>
        <w:rPr>
          <w:rFonts w:eastAsia="Times New Roman"/>
        </w:rPr>
      </w:pPr>
      <w:r>
        <w:rPr>
          <w:rFonts w:eastAsia="Times New Roman"/>
          <w:sz w:val="22"/>
          <w:szCs w:val="22"/>
        </w:rPr>
        <w:t xml:space="preserve">Pharmaceutical Products for the treatment of infertility that are administered on an outpatient basis in a Hospital, Alternate Facility, Physician's office, or in your home. </w:t>
      </w:r>
    </w:p>
    <w:p w14:paraId="272AB066" w14:textId="77777777" w:rsidR="008B4891" w:rsidRDefault="008B4891" w:rsidP="008B4891">
      <w:r>
        <w:rPr>
          <w:sz w:val="22"/>
          <w:szCs w:val="22"/>
        </w:rPr>
        <w:t> </w:t>
      </w:r>
    </w:p>
    <w:p w14:paraId="2BBDF094" w14:textId="77777777" w:rsidR="008B4891" w:rsidRDefault="008B4891" w:rsidP="008B4891">
      <w:r>
        <w:rPr>
          <w:sz w:val="22"/>
          <w:szCs w:val="22"/>
        </w:rPr>
        <w:t xml:space="preserve">To be eligible for Benefits, you must meet </w:t>
      </w:r>
      <w:proofErr w:type="gramStart"/>
      <w:r>
        <w:rPr>
          <w:sz w:val="22"/>
          <w:szCs w:val="22"/>
        </w:rPr>
        <w:t>all of</w:t>
      </w:r>
      <w:proofErr w:type="gramEnd"/>
      <w:r>
        <w:rPr>
          <w:sz w:val="22"/>
          <w:szCs w:val="22"/>
        </w:rPr>
        <w:t xml:space="preserve"> the following:</w:t>
      </w:r>
    </w:p>
    <w:p w14:paraId="30C32819" w14:textId="77777777" w:rsidR="008B4891" w:rsidRDefault="008B4891" w:rsidP="008B4891">
      <w:r>
        <w:rPr>
          <w:sz w:val="22"/>
          <w:szCs w:val="22"/>
        </w:rPr>
        <w:t> </w:t>
      </w:r>
    </w:p>
    <w:p w14:paraId="49E601C0" w14:textId="77777777" w:rsidR="008B4891" w:rsidRDefault="008B4891" w:rsidP="008B4891">
      <w:pPr>
        <w:pStyle w:val="ListParagraph"/>
        <w:numPr>
          <w:ilvl w:val="0"/>
          <w:numId w:val="2"/>
        </w:numPr>
        <w:contextualSpacing/>
        <w:rPr>
          <w:rFonts w:eastAsia="Times New Roman"/>
        </w:rPr>
      </w:pPr>
      <w:r>
        <w:rPr>
          <w:rFonts w:eastAsia="Times New Roman"/>
          <w:sz w:val="22"/>
          <w:szCs w:val="22"/>
        </w:rPr>
        <w:t>The presence of a demonstrated condition recognized by a licensed Physician and surgeon as a</w:t>
      </w:r>
    </w:p>
    <w:p w14:paraId="17DE0535" w14:textId="77777777" w:rsidR="008B4891" w:rsidRDefault="008B4891" w:rsidP="008B4891">
      <w:pPr>
        <w:pStyle w:val="ListParagraph"/>
        <w:numPr>
          <w:ilvl w:val="0"/>
          <w:numId w:val="2"/>
        </w:numPr>
        <w:contextualSpacing/>
        <w:rPr>
          <w:rFonts w:eastAsia="Times New Roman"/>
        </w:rPr>
      </w:pPr>
      <w:r>
        <w:rPr>
          <w:rFonts w:eastAsia="Times New Roman"/>
          <w:sz w:val="22"/>
          <w:szCs w:val="22"/>
        </w:rPr>
        <w:t>cause of infertility, or</w:t>
      </w:r>
    </w:p>
    <w:p w14:paraId="3B7A8FA8" w14:textId="77777777" w:rsidR="008B4891" w:rsidRDefault="008B4891" w:rsidP="008B4891">
      <w:pPr>
        <w:pStyle w:val="ListParagraph"/>
        <w:numPr>
          <w:ilvl w:val="0"/>
          <w:numId w:val="2"/>
        </w:numPr>
        <w:contextualSpacing/>
        <w:rPr>
          <w:rFonts w:eastAsia="Times New Roman"/>
        </w:rPr>
      </w:pPr>
      <w:r>
        <w:rPr>
          <w:rFonts w:eastAsia="Times New Roman"/>
          <w:sz w:val="22"/>
          <w:szCs w:val="22"/>
        </w:rPr>
        <w:t>The inability to conceive a pregnancy or to carry a pregnancy to a live birth after a year or more of</w:t>
      </w:r>
    </w:p>
    <w:p w14:paraId="67E5EBDB" w14:textId="77777777" w:rsidR="008B4891" w:rsidRDefault="008B4891" w:rsidP="008B4891">
      <w:pPr>
        <w:pStyle w:val="ListParagraph"/>
        <w:numPr>
          <w:ilvl w:val="0"/>
          <w:numId w:val="2"/>
        </w:numPr>
        <w:contextualSpacing/>
        <w:rPr>
          <w:rFonts w:eastAsia="Times New Roman"/>
        </w:rPr>
      </w:pPr>
      <w:r>
        <w:rPr>
          <w:rFonts w:eastAsia="Times New Roman"/>
          <w:sz w:val="22"/>
          <w:szCs w:val="22"/>
        </w:rPr>
        <w:t>regular sexual relations without contraception.</w:t>
      </w:r>
    </w:p>
    <w:p w14:paraId="7A9629DD" w14:textId="77777777" w:rsidR="008B4891" w:rsidRDefault="008B4891" w:rsidP="008B4891">
      <w:pPr>
        <w:pStyle w:val="ListParagraph"/>
        <w:numPr>
          <w:ilvl w:val="0"/>
          <w:numId w:val="2"/>
        </w:numPr>
        <w:contextualSpacing/>
        <w:rPr>
          <w:rFonts w:eastAsia="Times New Roman"/>
        </w:rPr>
      </w:pPr>
      <w:r>
        <w:rPr>
          <w:rFonts w:eastAsia="Times New Roman"/>
          <w:sz w:val="22"/>
          <w:szCs w:val="22"/>
        </w:rPr>
        <w:t>You have infertility not related to voluntary sterilization or to failed reversal of voluntary sterilization.</w:t>
      </w:r>
    </w:p>
    <w:p w14:paraId="6DD10668" w14:textId="77777777" w:rsidR="008B4891" w:rsidRDefault="008B4891" w:rsidP="008B4891">
      <w:r>
        <w:rPr>
          <w:sz w:val="22"/>
          <w:szCs w:val="22"/>
        </w:rPr>
        <w:t> </w:t>
      </w:r>
    </w:p>
    <w:p w14:paraId="06EFBF31" w14:textId="77777777" w:rsidR="008B4891" w:rsidRDefault="008B4891" w:rsidP="008B4891">
      <w:r>
        <w:rPr>
          <w:b/>
          <w:bCs/>
          <w:sz w:val="22"/>
          <w:szCs w:val="22"/>
        </w:rPr>
        <w:t>HMO: Coverage</w:t>
      </w:r>
    </w:p>
    <w:p w14:paraId="36867492" w14:textId="77777777" w:rsidR="008B4891" w:rsidRDefault="008B4891" w:rsidP="008B4891">
      <w:pPr>
        <w:pStyle w:val="ListParagraph"/>
        <w:numPr>
          <w:ilvl w:val="0"/>
          <w:numId w:val="3"/>
        </w:numPr>
        <w:contextualSpacing/>
        <w:rPr>
          <w:rFonts w:eastAsia="Times New Roman"/>
        </w:rPr>
      </w:pPr>
      <w:r>
        <w:rPr>
          <w:rFonts w:eastAsia="Times New Roman"/>
          <w:sz w:val="22"/>
          <w:szCs w:val="22"/>
        </w:rPr>
        <w:t xml:space="preserve">Please see the overviews attached for IBD plan and ART plan; IBD does not include IVF, but ART does include it. </w:t>
      </w:r>
    </w:p>
    <w:p w14:paraId="5F32E09A" w14:textId="77777777" w:rsidR="008B4891" w:rsidRDefault="008B4891" w:rsidP="008B4891">
      <w:r>
        <w:rPr>
          <w:color w:val="0000FF"/>
          <w:sz w:val="22"/>
          <w:szCs w:val="22"/>
        </w:rPr>
        <w:t> </w:t>
      </w:r>
    </w:p>
    <w:p w14:paraId="3DDF4C70" w14:textId="77777777" w:rsidR="008B4891" w:rsidRDefault="008B4891" w:rsidP="008B4891">
      <w:proofErr w:type="spellStart"/>
      <w:r>
        <w:rPr>
          <w:b/>
          <w:bCs/>
          <w:sz w:val="24"/>
          <w:szCs w:val="24"/>
          <w:u w:val="single"/>
        </w:rPr>
        <w:t>Kasier</w:t>
      </w:r>
      <w:proofErr w:type="spellEnd"/>
      <w:r>
        <w:rPr>
          <w:b/>
          <w:bCs/>
          <w:sz w:val="24"/>
          <w:szCs w:val="24"/>
          <w:u w:val="single"/>
        </w:rPr>
        <w:t xml:space="preserve"> IVF Coverage</w:t>
      </w:r>
      <w:r>
        <w:rPr>
          <w:b/>
          <w:bCs/>
          <w:sz w:val="24"/>
          <w:szCs w:val="24"/>
        </w:rPr>
        <w:t xml:space="preserve"> </w:t>
      </w:r>
      <w:r>
        <w:rPr>
          <w:b/>
          <w:bCs/>
          <w:sz w:val="22"/>
          <w:szCs w:val="22"/>
        </w:rPr>
        <w:t xml:space="preserve">- </w:t>
      </w:r>
      <w:r>
        <w:rPr>
          <w:rFonts w:ascii="Dialog" w:hAnsi="Dialog"/>
          <w:sz w:val="24"/>
          <w:szCs w:val="24"/>
        </w:rPr>
        <w:t>Listed below are the benefits that come with the plan along with the limitations and Exclusions.</w:t>
      </w:r>
    </w:p>
    <w:p w14:paraId="3A842C05" w14:textId="77777777" w:rsidR="008B4891" w:rsidRDefault="008B4891" w:rsidP="008B4891">
      <w:r>
        <w:rPr>
          <w:rFonts w:ascii="Arial" w:hAnsi="Arial" w:cs="Arial"/>
          <w:color w:val="000000"/>
          <w:sz w:val="24"/>
          <w:szCs w:val="24"/>
          <w:shd w:val="clear" w:color="auto" w:fill="FFFFFF"/>
        </w:rPr>
        <w:t> </w:t>
      </w:r>
      <w:r>
        <w:rPr>
          <w:rFonts w:ascii="Arial" w:hAnsi="Arial" w:cs="Arial"/>
          <w:sz w:val="24"/>
          <w:szCs w:val="24"/>
        </w:rPr>
        <w:t xml:space="preserve"> </w:t>
      </w:r>
    </w:p>
    <w:p w14:paraId="7B9992A8" w14:textId="77777777" w:rsidR="008B4891" w:rsidRDefault="008B4891" w:rsidP="008B4891">
      <w:r>
        <w:rPr>
          <w:rFonts w:ascii="Arial" w:hAnsi="Arial" w:cs="Arial"/>
          <w:color w:val="000000"/>
          <w:sz w:val="24"/>
          <w:szCs w:val="24"/>
          <w:shd w:val="clear" w:color="auto" w:fill="FFFFFF"/>
        </w:rPr>
        <w:t> </w:t>
      </w:r>
      <w:r>
        <w:rPr>
          <w:rFonts w:ascii="Arial" w:hAnsi="Arial" w:cs="Arial"/>
          <w:sz w:val="24"/>
          <w:szCs w:val="24"/>
        </w:rPr>
        <w:t xml:space="preserve">  </w:t>
      </w:r>
    </w:p>
    <w:p w14:paraId="4D9C24E0" w14:textId="77777777" w:rsidR="008B4891" w:rsidRDefault="008B4891" w:rsidP="008B4891">
      <w:pPr>
        <w:shd w:val="clear" w:color="auto" w:fill="FFFFFF"/>
        <w:textAlignment w:val="baseline"/>
      </w:pPr>
      <w:r>
        <w:rPr>
          <w:b/>
          <w:bCs/>
          <w:color w:val="003C71"/>
          <w:sz w:val="22"/>
          <w:szCs w:val="22"/>
        </w:rPr>
        <w:t>Limitations and Exclusions</w:t>
      </w:r>
      <w:r>
        <w:rPr>
          <w:b/>
          <w:bCs/>
          <w:color w:val="000000"/>
          <w:sz w:val="22"/>
          <w:szCs w:val="22"/>
        </w:rPr>
        <w:t xml:space="preserve"> </w:t>
      </w:r>
    </w:p>
    <w:p w14:paraId="7A3F8A4D" w14:textId="77777777" w:rsidR="008B4891" w:rsidRDefault="008B4891" w:rsidP="008B4891">
      <w:pPr>
        <w:shd w:val="clear" w:color="auto" w:fill="FFFFFF"/>
        <w:spacing w:after="150"/>
        <w:textAlignment w:val="baseline"/>
      </w:pPr>
      <w:r>
        <w:rPr>
          <w:color w:val="323132"/>
          <w:sz w:val="22"/>
          <w:szCs w:val="22"/>
        </w:rPr>
        <w:t>Services related to conception by artificial means (other than AI/IUI) are excluded under this supplemental fertility benefit including but not limited to:</w:t>
      </w:r>
      <w:r>
        <w:rPr>
          <w:color w:val="000000"/>
          <w:sz w:val="22"/>
          <w:szCs w:val="22"/>
        </w:rPr>
        <w:t xml:space="preserve"> </w:t>
      </w:r>
    </w:p>
    <w:p w14:paraId="72A99F82" w14:textId="77777777" w:rsidR="008B4891" w:rsidRDefault="008B4891" w:rsidP="008B4891">
      <w:pPr>
        <w:numPr>
          <w:ilvl w:val="0"/>
          <w:numId w:val="4"/>
        </w:numPr>
        <w:shd w:val="clear" w:color="auto" w:fill="FFFFFF"/>
        <w:textAlignment w:val="baseline"/>
        <w:rPr>
          <w:rFonts w:eastAsia="Times New Roman"/>
          <w:color w:val="323132"/>
        </w:rPr>
      </w:pPr>
      <w:r>
        <w:rPr>
          <w:rFonts w:eastAsia="Times New Roman"/>
          <w:color w:val="323132"/>
          <w:sz w:val="22"/>
          <w:szCs w:val="22"/>
        </w:rPr>
        <w:t xml:space="preserve">Donor semen or eggs, donor ovum, and services related to their procurement and storage </w:t>
      </w:r>
    </w:p>
    <w:p w14:paraId="70594206" w14:textId="77777777" w:rsidR="008B4891" w:rsidRDefault="008B4891" w:rsidP="008B4891">
      <w:pPr>
        <w:numPr>
          <w:ilvl w:val="0"/>
          <w:numId w:val="4"/>
        </w:numPr>
        <w:shd w:val="clear" w:color="auto" w:fill="FFFFFF"/>
        <w:textAlignment w:val="baseline"/>
        <w:rPr>
          <w:rFonts w:eastAsia="Times New Roman"/>
          <w:color w:val="323132"/>
        </w:rPr>
      </w:pPr>
      <w:r>
        <w:rPr>
          <w:rFonts w:eastAsia="Times New Roman"/>
          <w:color w:val="323132"/>
          <w:sz w:val="22"/>
          <w:szCs w:val="22"/>
        </w:rPr>
        <w:t xml:space="preserve">Ovum transplants </w:t>
      </w:r>
    </w:p>
    <w:p w14:paraId="2B46CD80" w14:textId="77777777" w:rsidR="008B4891" w:rsidRDefault="008B4891" w:rsidP="008B4891">
      <w:pPr>
        <w:numPr>
          <w:ilvl w:val="0"/>
          <w:numId w:val="4"/>
        </w:numPr>
        <w:shd w:val="clear" w:color="auto" w:fill="FFFFFF"/>
        <w:textAlignment w:val="baseline"/>
        <w:rPr>
          <w:rFonts w:eastAsia="Times New Roman"/>
          <w:color w:val="323132"/>
        </w:rPr>
      </w:pPr>
      <w:r>
        <w:rPr>
          <w:rFonts w:eastAsia="Times New Roman"/>
          <w:color w:val="323132"/>
          <w:sz w:val="22"/>
          <w:szCs w:val="22"/>
          <w:lang w:val="en"/>
        </w:rPr>
        <w:t>In vitro fertilization (IVF) unless supplemental </w:t>
      </w:r>
      <w:hyperlink r:id="rId5" w:history="1">
        <w:r>
          <w:rPr>
            <w:rStyle w:val="Hyperlink"/>
            <w:rFonts w:eastAsia="Times New Roman"/>
            <w:sz w:val="22"/>
            <w:szCs w:val="22"/>
            <w:lang w:val="en"/>
          </w:rPr>
          <w:t>GIFT/ZIFT/IVF</w:t>
        </w:r>
      </w:hyperlink>
      <w:r>
        <w:rPr>
          <w:rFonts w:eastAsia="Times New Roman"/>
          <w:color w:val="323132"/>
          <w:sz w:val="22"/>
          <w:szCs w:val="22"/>
          <w:lang w:val="en"/>
        </w:rPr>
        <w:t xml:space="preserve"> benefit is purchased </w:t>
      </w:r>
    </w:p>
    <w:p w14:paraId="564681F0" w14:textId="77777777" w:rsidR="008B4891" w:rsidRDefault="008B4891" w:rsidP="008B4891">
      <w:pPr>
        <w:numPr>
          <w:ilvl w:val="0"/>
          <w:numId w:val="4"/>
        </w:numPr>
        <w:shd w:val="clear" w:color="auto" w:fill="FFFFFF"/>
        <w:textAlignment w:val="baseline"/>
        <w:rPr>
          <w:rFonts w:eastAsia="Times New Roman"/>
          <w:color w:val="323132"/>
        </w:rPr>
      </w:pPr>
      <w:r>
        <w:rPr>
          <w:rFonts w:eastAsia="Times New Roman"/>
          <w:color w:val="323132"/>
          <w:sz w:val="22"/>
          <w:szCs w:val="22"/>
        </w:rPr>
        <w:t xml:space="preserve">Gamete intrafallopian transfer (GIFT) unless supplemental GIFT benefit is purchased </w:t>
      </w:r>
    </w:p>
    <w:p w14:paraId="69F3B73E" w14:textId="77777777" w:rsidR="008B4891" w:rsidRDefault="008B4891" w:rsidP="008B4891">
      <w:pPr>
        <w:numPr>
          <w:ilvl w:val="0"/>
          <w:numId w:val="4"/>
        </w:numPr>
        <w:shd w:val="clear" w:color="auto" w:fill="FFFFFF"/>
        <w:textAlignment w:val="baseline"/>
        <w:rPr>
          <w:rFonts w:eastAsia="Times New Roman"/>
          <w:color w:val="323132"/>
        </w:rPr>
      </w:pPr>
      <w:r>
        <w:rPr>
          <w:rFonts w:eastAsia="Times New Roman"/>
          <w:color w:val="323132"/>
          <w:sz w:val="22"/>
          <w:szCs w:val="22"/>
          <w:lang w:val="en"/>
        </w:rPr>
        <w:t>Zygote intrafallopian transfer (ZIFT) unless supplemental </w:t>
      </w:r>
      <w:hyperlink r:id="rId6" w:history="1">
        <w:r>
          <w:rPr>
            <w:rStyle w:val="Hyperlink"/>
            <w:rFonts w:eastAsia="Times New Roman"/>
            <w:sz w:val="22"/>
            <w:szCs w:val="22"/>
            <w:lang w:val="en"/>
          </w:rPr>
          <w:t>GIFT/ZIFT/IVF</w:t>
        </w:r>
      </w:hyperlink>
      <w:r>
        <w:rPr>
          <w:rFonts w:eastAsia="Times New Roman"/>
          <w:color w:val="323132"/>
          <w:sz w:val="22"/>
          <w:szCs w:val="22"/>
          <w:lang w:val="en"/>
        </w:rPr>
        <w:t xml:space="preserve"> benefit is purchased </w:t>
      </w:r>
    </w:p>
    <w:p w14:paraId="45C9A44F" w14:textId="77777777" w:rsidR="008B4891" w:rsidRDefault="008B4891" w:rsidP="008B4891">
      <w:pPr>
        <w:shd w:val="clear" w:color="auto" w:fill="FFFFFF"/>
        <w:spacing w:after="150"/>
        <w:textAlignment w:val="baseline"/>
      </w:pPr>
      <w:r>
        <w:rPr>
          <w:color w:val="323132"/>
          <w:sz w:val="22"/>
          <w:szCs w:val="22"/>
        </w:rPr>
        <w:t>Services provided to diagnose and treat non-member partners during fertility care for a member are not covered. For example, if the member is a female and her male partner is not a Health Plan member, evaluation and treatment of male factor infertility are not covered.</w:t>
      </w:r>
      <w:r>
        <w:rPr>
          <w:color w:val="000000"/>
          <w:sz w:val="22"/>
          <w:szCs w:val="22"/>
        </w:rPr>
        <w:t xml:space="preserve"> </w:t>
      </w:r>
    </w:p>
    <w:p w14:paraId="63B13BEB" w14:textId="77777777" w:rsidR="008B4891" w:rsidRDefault="008B4891" w:rsidP="008B4891">
      <w:pPr>
        <w:shd w:val="clear" w:color="auto" w:fill="FFFFFF"/>
        <w:spacing w:after="150"/>
        <w:textAlignment w:val="baseline"/>
      </w:pPr>
      <w:r>
        <w:rPr>
          <w:color w:val="323132"/>
          <w:sz w:val="22"/>
          <w:szCs w:val="22"/>
        </w:rPr>
        <w:lastRenderedPageBreak/>
        <w:t> </w:t>
      </w:r>
      <w:r>
        <w:rPr>
          <w:color w:val="000000"/>
          <w:sz w:val="22"/>
          <w:szCs w:val="22"/>
        </w:rPr>
        <w:t xml:space="preserve"> </w:t>
      </w:r>
    </w:p>
    <w:p w14:paraId="2154A2AE" w14:textId="77777777" w:rsidR="008B4891" w:rsidRDefault="008B4891" w:rsidP="008B4891">
      <w:pPr>
        <w:shd w:val="clear" w:color="auto" w:fill="FFFFFF"/>
        <w:textAlignment w:val="baseline"/>
      </w:pPr>
      <w:r>
        <w:rPr>
          <w:b/>
          <w:bCs/>
          <w:color w:val="323132"/>
          <w:sz w:val="22"/>
          <w:szCs w:val="22"/>
          <w:u w:val="single"/>
        </w:rPr>
        <w:t>Please see below for the group’s Infertility benefits.</w:t>
      </w:r>
      <w:r>
        <w:rPr>
          <w:color w:val="323132"/>
          <w:sz w:val="22"/>
          <w:szCs w:val="22"/>
        </w:rPr>
        <w:t xml:space="preserve"> </w:t>
      </w:r>
    </w:p>
    <w:p w14:paraId="46F1ADCD" w14:textId="77777777" w:rsidR="008B4891" w:rsidRDefault="008B4891" w:rsidP="008B4891">
      <w:pPr>
        <w:shd w:val="clear" w:color="auto" w:fill="FFFFFF"/>
        <w:textAlignment w:val="baseline"/>
      </w:pPr>
      <w:r>
        <w:rPr>
          <w:color w:val="323132"/>
          <w:sz w:val="22"/>
          <w:szCs w:val="22"/>
        </w:rPr>
        <w:t> </w:t>
      </w:r>
      <w:r>
        <w:rPr>
          <w:color w:val="000000"/>
          <w:sz w:val="22"/>
          <w:szCs w:val="22"/>
        </w:rPr>
        <w:t xml:space="preserve"> </w:t>
      </w:r>
    </w:p>
    <w:p w14:paraId="40A55AFA" w14:textId="79FD02BF" w:rsidR="008B4891" w:rsidRDefault="008B4891" w:rsidP="008B4891">
      <w:pPr>
        <w:shd w:val="clear" w:color="auto" w:fill="FFFFFF"/>
        <w:textAlignment w:val="baseline"/>
      </w:pPr>
      <w:r>
        <w:rPr>
          <w:noProof/>
          <w:color w:val="000000"/>
          <w:sz w:val="22"/>
          <w:szCs w:val="22"/>
        </w:rPr>
        <w:drawing>
          <wp:inline distT="0" distB="0" distL="0" distR="0" wp14:anchorId="2DF9FC03" wp14:editId="710578ED">
            <wp:extent cx="5943600" cy="4287520"/>
            <wp:effectExtent l="0" t="0" r="0" b="1778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4287520"/>
                    </a:xfrm>
                    <a:prstGeom prst="rect">
                      <a:avLst/>
                    </a:prstGeom>
                    <a:noFill/>
                    <a:ln>
                      <a:noFill/>
                    </a:ln>
                  </pic:spPr>
                </pic:pic>
              </a:graphicData>
            </a:graphic>
          </wp:inline>
        </w:drawing>
      </w:r>
    </w:p>
    <w:p w14:paraId="22A009EE" w14:textId="1BA7BD8F" w:rsidR="008B4891" w:rsidRDefault="008B4891" w:rsidP="008B4891">
      <w:r>
        <w:rPr>
          <w:noProof/>
          <w:color w:val="000000"/>
          <w:sz w:val="22"/>
          <w:szCs w:val="22"/>
        </w:rPr>
        <w:lastRenderedPageBreak/>
        <w:drawing>
          <wp:inline distT="0" distB="0" distL="0" distR="0" wp14:anchorId="6A45C658" wp14:editId="62BD8517">
            <wp:extent cx="5943600" cy="7383780"/>
            <wp:effectExtent l="0" t="0" r="0" b="762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43600" cy="7383780"/>
                    </a:xfrm>
                    <a:prstGeom prst="rect">
                      <a:avLst/>
                    </a:prstGeom>
                    <a:noFill/>
                    <a:ln>
                      <a:noFill/>
                    </a:ln>
                  </pic:spPr>
                </pic:pic>
              </a:graphicData>
            </a:graphic>
          </wp:inline>
        </w:drawing>
      </w:r>
    </w:p>
    <w:p w14:paraId="70A9B285" w14:textId="77777777" w:rsidR="008B4891" w:rsidRDefault="008B4891" w:rsidP="008B4891">
      <w:r>
        <w:rPr>
          <w:b/>
          <w:bCs/>
          <w:sz w:val="22"/>
          <w:szCs w:val="22"/>
        </w:rPr>
        <w:t> </w:t>
      </w:r>
    </w:p>
    <w:p w14:paraId="5C86156E" w14:textId="77777777" w:rsidR="00E055F3" w:rsidRDefault="00E055F3"/>
    <w:sectPr w:rsidR="00E05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alog">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33841"/>
    <w:multiLevelType w:val="hybridMultilevel"/>
    <w:tmpl w:val="AAE00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04412C"/>
    <w:multiLevelType w:val="hybridMultilevel"/>
    <w:tmpl w:val="EF263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9E33C9"/>
    <w:multiLevelType w:val="hybridMultilevel"/>
    <w:tmpl w:val="A29EE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7592BED"/>
    <w:multiLevelType w:val="multilevel"/>
    <w:tmpl w:val="B57CD2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20910471">
    <w:abstractNumId w:val="0"/>
    <w:lvlOverride w:ilvl="0"/>
    <w:lvlOverride w:ilvl="1"/>
    <w:lvlOverride w:ilvl="2"/>
    <w:lvlOverride w:ilvl="3"/>
    <w:lvlOverride w:ilvl="4"/>
    <w:lvlOverride w:ilvl="5"/>
    <w:lvlOverride w:ilvl="6"/>
    <w:lvlOverride w:ilvl="7"/>
    <w:lvlOverride w:ilvl="8"/>
  </w:num>
  <w:num w:numId="2" w16cid:durableId="917907767">
    <w:abstractNumId w:val="1"/>
    <w:lvlOverride w:ilvl="0"/>
    <w:lvlOverride w:ilvl="1"/>
    <w:lvlOverride w:ilvl="2"/>
    <w:lvlOverride w:ilvl="3"/>
    <w:lvlOverride w:ilvl="4"/>
    <w:lvlOverride w:ilvl="5"/>
    <w:lvlOverride w:ilvl="6"/>
    <w:lvlOverride w:ilvl="7"/>
    <w:lvlOverride w:ilvl="8"/>
  </w:num>
  <w:num w:numId="3" w16cid:durableId="402291788">
    <w:abstractNumId w:val="2"/>
    <w:lvlOverride w:ilvl="0"/>
    <w:lvlOverride w:ilvl="1"/>
    <w:lvlOverride w:ilvl="2"/>
    <w:lvlOverride w:ilvl="3"/>
    <w:lvlOverride w:ilvl="4"/>
    <w:lvlOverride w:ilvl="5"/>
    <w:lvlOverride w:ilvl="6"/>
    <w:lvlOverride w:ilvl="7"/>
    <w:lvlOverride w:ilvl="8"/>
  </w:num>
  <w:num w:numId="4" w16cid:durableId="122075057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91"/>
    <w:rsid w:val="008B4891"/>
    <w:rsid w:val="00E05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76CDC"/>
  <w15:chartTrackingRefBased/>
  <w15:docId w15:val="{8BAC0923-20C1-409E-98B8-B38B674B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891"/>
    <w:pPr>
      <w:spacing w:after="0" w:line="240" w:lineRule="auto"/>
    </w:pPr>
    <w:rPr>
      <w:rFonts w:ascii="Calibri"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4891"/>
    <w:rPr>
      <w:color w:val="0563C1"/>
      <w:u w:val="single"/>
    </w:rPr>
  </w:style>
  <w:style w:type="paragraph" w:styleId="ListParagraph">
    <w:name w:val="List Paragraph"/>
    <w:basedOn w:val="Normal"/>
    <w:uiPriority w:val="34"/>
    <w:qFormat/>
    <w:rsid w:val="008B489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6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6.png@01D8E225.F4F2315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tect-us.mimecast.com/s/SRYBC0RoKPTroj2nfLHKWp?domain=sp-cloud.kp.org" TargetMode="External"/><Relationship Id="rId11" Type="http://schemas.openxmlformats.org/officeDocument/2006/relationships/fontTable" Target="fontTable.xml"/><Relationship Id="rId5" Type="http://schemas.openxmlformats.org/officeDocument/2006/relationships/hyperlink" Target="https://protect-us.mimecast.com/s/SRYBC0RoKPTroj2nfLHKWp?domain=sp-cloud.kp.org" TargetMode="External"/><Relationship Id="rId10" Type="http://schemas.openxmlformats.org/officeDocument/2006/relationships/image" Target="cid:image007.png@01D8E225.F4F23150"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Kyriakides</dc:creator>
  <cp:keywords/>
  <dc:description/>
  <cp:lastModifiedBy>Anne Kyriakides</cp:lastModifiedBy>
  <cp:revision>1</cp:revision>
  <dcterms:created xsi:type="dcterms:W3CDTF">2022-11-08T23:12:00Z</dcterms:created>
  <dcterms:modified xsi:type="dcterms:W3CDTF">2022-11-08T23:13:00Z</dcterms:modified>
</cp:coreProperties>
</file>